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5438"/>
        <w:gridCol w:w="2100"/>
      </w:tblGrid>
      <w:tr>
        <w:tc>
          <w:tcPr>
            <w:tcW w:type="dxa" w:w="2100"/>
            <w:tcBorders>
              <w:top w:val="single" w:color="595959" w:sz="6"/>
              <w:left w:val="single" w:color="595959" w:sz="6"/>
              <w:bottom w:val="single" w:color="595959" w:sz="6"/>
              <w:right w:val="single" w:color="595959" w:sz="6"/>
            </w:tcBorders>
            <w:tcMar>
              <w:top w:type="dxa" w:w="80"/>
              <w:left w:type="dxa" w:w="120"/>
              <w:bottom w:type="dxa" w:w="80"/>
              <w:right w:type="dxa" w:w="120"/>
            </w:tcMar>
            <w:vAlign w:val="top"/>
          </w:tcPr>
          <w:p>
            <w:pPr>
              <w:spacing w:after="80" w:before="0" w:line="276"/>
              <w:jc w:val="both"/>
            </w:pPr>
            <w:r>
              <w:rPr>
                <w:rFonts w:ascii="Calibri" w:cs="Calibri" w:eastAsia="Calibri" w:hAnsi="Calibri"/>
                <w:sz w:val="22"/>
                <w:szCs w:val="22"/>
              </w:rPr>
              <w:t xml:space="preserve"/>
            </w:r>
          </w:p>
        </w:tc>
        <w:tc>
          <w:tcPr>
            <w:tcW w:type="dxa" w:w="5438"/>
            <w:tcBorders>
              <w:top w:val="single" w:color="595959" w:sz="6"/>
              <w:left w:val="single" w:color="595959" w:sz="6"/>
              <w:bottom w:val="single" w:color="595959" w:sz="6"/>
              <w:right w:val="single" w:color="595959" w:sz="6"/>
            </w:tcBorders>
            <w:shd w:fill="D9D9D9" w:color="auto" w:val="clear"/>
            <w:tcMar>
              <w:top w:type="dxa" w:w="80"/>
              <w:left w:type="dxa" w:w="120"/>
              <w:bottom w:type="dxa" w:w="80"/>
              <w:right w:type="dxa" w:w="120"/>
            </w:tcMar>
            <w:vAlign w:val="center"/>
          </w:tcPr>
          <w:p>
            <w:pPr>
              <w:spacing w:after="0" w:before="0" w:line="276"/>
              <w:jc w:val="center"/>
            </w:pPr>
            <w:r>
              <w:rPr>
                <w:rFonts w:ascii="Calibri" w:cs="Calibri" w:eastAsia="Calibri" w:hAnsi="Calibri"/>
                <w:b/>
                <w:bCs/>
                <w:sz w:val="26"/>
                <w:szCs w:val="26"/>
              </w:rPr>
              <w:t xml:space="preserve">FICHE DESCRIPTIVE DE LA FORMATION</w:t>
            </w:r>
          </w:p>
        </w:tc>
        <w:tc>
          <w:tcPr>
            <w:tcW w:type="dxa" w:w="2100"/>
            <w:tcBorders>
              <w:top w:val="single" w:color="595959" w:sz="6"/>
              <w:left w:val="single" w:color="595959" w:sz="6"/>
              <w:bottom w:val="single" w:color="595959" w:sz="6"/>
              <w:right w:val="single" w:color="595959" w:sz="6"/>
            </w:tcBorders>
            <w:tcMar>
              <w:top w:type="dxa" w:w="80"/>
              <w:left w:type="dxa" w:w="120"/>
              <w:bottom w:type="dxa" w:w="80"/>
              <w:right w:type="dxa" w:w="120"/>
            </w:tcMar>
            <w:vAlign w:val="top"/>
          </w:tcPr>
          <w:p>
            <w:pPr>
              <w:spacing w:after="80" w:before="0" w:line="276"/>
              <w:jc w:val="both"/>
            </w:pPr>
            <w:r>
              <w:rPr>
                <w:rFonts w:ascii="Calibri" w:cs="Calibri" w:eastAsia="Calibri" w:hAnsi="Calibri"/>
                <w:sz w:val="22"/>
                <w:szCs w:val="22"/>
              </w:rPr>
              <w:t xml:space="preserve"/>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00"/>
        <w:gridCol w:w="4338"/>
        <w:gridCol w:w="3200"/>
      </w:tblGrid>
      <w:tr>
        <w:tc>
          <w:tcPr>
            <w:tcW w:type="dxa" w:w="2100"/>
            <w:vMerge w:val="restart"/>
            <w:tcBorders>
              <w:top w:val="none" w:color="FFFFFF" w:sz="0"/>
              <w:left w:val="none" w:color="FFFFFF" w:sz="0"/>
              <w:bottom w:val="none" w:color="FFFFFF" w:sz="0"/>
              <w:right w:val="none" w:color="FFFFFF" w:sz="0"/>
            </w:tcBorders>
            <w:tcMar>
              <w:top w:type="dxa" w:w="80"/>
              <w:left w:type="dxa" w:w="120"/>
              <w:bottom w:type="dxa" w:w="80"/>
              <w:right w:type="dxa" w:w="120"/>
            </w:tcMar>
            <w:vAlign w:val="center"/>
          </w:tcPr>
          <w:p>
            <w:pPr>
              <w:spacing w:after="0" w:before="0" w:line="276"/>
              <w:jc w:val="center"/>
            </w:pPr>
            <w:r>
              <w:drawing>
                <wp:inline distT="0" distB="0" distL="0" distR="0">
                  <wp:extent cx="1028700" cy="1247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028700" cy="1247775"/>
                          </a:xfrm>
                          <a:prstGeom prst="rect">
                            <a:avLst/>
                          </a:prstGeom>
                        </pic:spPr>
                      </pic:pic>
                    </a:graphicData>
                  </a:graphic>
                </wp:inline>
              </w:drawing>
            </w:r>
          </w:p>
        </w:tc>
        <w:tc>
          <w:tcPr>
            <w:tcW w:type="dxa" w:w="4338"/>
            <w:tcBorders>
              <w:top w:val="single" w:color="595959" w:sz="6"/>
              <w:left w:val="single" w:color="595959" w:sz="6"/>
              <w:bottom w:val="single" w:color="595959" w:sz="6"/>
              <w:right w:val="single" w:color="595959" w:sz="6"/>
            </w:tcBorders>
            <w:tcMar>
              <w:top w:type="dxa" w:w="80"/>
              <w:left w:type="dxa" w:w="120"/>
              <w:bottom w:type="dxa" w:w="80"/>
              <w:right w:type="dxa" w:w="120"/>
            </w:tcMar>
            <w:vAlign w:val="top"/>
          </w:tcPr>
          <w:p>
            <w:pPr>
              <w:spacing w:after="20" w:before="0" w:line="276"/>
              <w:jc w:val="left"/>
            </w:pPr>
            <w:r>
              <w:rPr>
                <w:rFonts w:ascii="Calibri" w:cs="Calibri" w:eastAsia="Calibri" w:hAnsi="Calibri"/>
                <w:b/>
                <w:bCs/>
                <w:sz w:val="22"/>
                <w:szCs w:val="22"/>
              </w:rPr>
              <w:t xml:space="preserve">Union départementale des syndicats CGT de l'Aveyron</w:t>
            </w:r>
          </w:p>
          <w:p>
            <w:pPr>
              <w:spacing w:after="20" w:before="0" w:line="276"/>
              <w:jc w:val="left"/>
            </w:pPr>
            <w:r>
              <w:rPr>
                <w:rFonts w:ascii="Calibri" w:cs="Calibri" w:eastAsia="Calibri" w:hAnsi="Calibri"/>
                <w:sz w:val="22"/>
                <w:szCs w:val="22"/>
              </w:rPr>
              <w:t xml:space="preserve">Formation syndicale</w:t>
            </w:r>
          </w:p>
          <w:p>
            <w:pPr>
              <w:spacing w:after="20" w:before="0" w:line="276"/>
              <w:jc w:val="left"/>
            </w:pPr>
            <w:r>
              <w:rPr>
                <w:rFonts w:ascii="Calibri" w:cs="Calibri" w:eastAsia="Calibri" w:hAnsi="Calibri"/>
                <w:sz w:val="22"/>
                <w:szCs w:val="22"/>
              </w:rPr>
              <w:t xml:space="preserve">Adresse : 50 rue Raynal</w:t>
            </w:r>
          </w:p>
          <w:p>
            <w:pPr>
              <w:spacing w:after="0" w:before="0" w:line="276"/>
              <w:jc w:val="left"/>
            </w:pPr>
            <w:r>
              <w:rPr>
                <w:rFonts w:ascii="Calibri" w:cs="Calibri" w:eastAsia="Calibri" w:hAnsi="Calibri"/>
                <w:sz w:val="22"/>
                <w:szCs w:val="22"/>
              </w:rPr>
              <w:t xml:space="preserve">Code postal, ville : 12000 Rodez</w:t>
            </w:r>
          </w:p>
        </w:tc>
        <w:tc>
          <w:tcPr>
            <w:tcW w:type="dxa" w:w="3200"/>
            <w:tcBorders>
              <w:top w:val="single" w:color="595959" w:sz="6"/>
              <w:left w:val="single" w:color="595959" w:sz="6"/>
              <w:bottom w:val="single" w:color="595959" w:sz="6"/>
              <w:right w:val="single" w:color="595959" w:sz="6"/>
            </w:tcBorders>
            <w:tcMar>
              <w:top w:type="dxa" w:w="80"/>
              <w:left w:type="dxa" w:w="120"/>
              <w:bottom w:type="dxa" w:w="80"/>
              <w:right w:type="dxa" w:w="120"/>
            </w:tcMar>
            <w:vAlign w:val="center"/>
          </w:tcPr>
          <w:p>
            <w:pPr>
              <w:spacing w:after="0" w:before="0" w:line="276"/>
              <w:jc w:val="left"/>
            </w:pPr>
            <w:r>
              <w:rPr>
                <w:rFonts w:ascii="Calibri" w:cs="Calibri" w:eastAsia="Calibri" w:hAnsi="Calibri"/>
                <w:sz w:val="22"/>
                <w:szCs w:val="22"/>
              </w:rPr>
              <w:t xml:space="preserve">Tél : 05 65 68 22 30</w:t>
            </w:r>
          </w:p>
        </w:tc>
      </w:tr>
      <w:tr>
        <w:tc>
          <w:tcPr>
            <w:vMerge w:val="continue"/>
            <w:tcBorders>
              <w:top w:val="none" w:color="FFFFFF" w:sz="0"/>
              <w:left w:val="none" w:color="FFFFFF" w:sz="0"/>
              <w:bottom w:val="none" w:color="FFFFFF" w:sz="0"/>
              <w:right w:val="none" w:color="FFFFFF" w:sz="0"/>
            </w:tcBorders>
          </w:tcPr>
          <w:p/>
        </w:tc>
        <w:tc>
          <w:tcPr>
            <w:tcW w:type="dxa" w:w="7538"/>
            <w:gridSpan w:val="2"/>
            <w:tcBorders>
              <w:top w:val="single" w:color="595959" w:sz="6"/>
              <w:left w:val="single" w:color="595959" w:sz="6"/>
              <w:bottom w:val="single" w:color="595959" w:sz="6"/>
              <w:right w:val="single" w:color="595959" w:sz="6"/>
            </w:tcBorders>
            <w:tcMar>
              <w:top w:type="dxa" w:w="80"/>
              <w:left w:type="dxa" w:w="120"/>
              <w:bottom w:type="dxa" w:w="80"/>
              <w:right w:type="dxa" w:w="120"/>
            </w:tcMar>
            <w:vAlign w:val="top"/>
          </w:tcPr>
          <w:p>
            <w:pPr>
              <w:spacing w:after="20" w:before="0" w:line="276"/>
              <w:jc w:val="left"/>
            </w:pPr>
            <w:r>
              <w:rPr>
                <w:rFonts w:ascii="Calibri" w:cs="Calibri" w:eastAsia="Calibri" w:hAnsi="Calibri"/>
                <w:sz w:val="22"/>
                <w:szCs w:val="22"/>
              </w:rPr>
              <w:t xml:space="preserve">Courriel : </w:t>
            </w:r>
            <w:hyperlink w:history="1" r:id="rIdl0sbphxh9fgi5db6_gwqp">
              <w:r>
                <w:rPr>
                  <w:rStyle w:val="Hyperlink"/>
                  <w:rFonts w:ascii="Calibri" w:cs="Calibri" w:eastAsia="Calibri" w:hAnsi="Calibri"/>
                  <w:sz w:val="22"/>
                  <w:szCs w:val="22"/>
                </w:rPr>
                <w:t xml:space="preserve">ud@cgt12.fr</w:t>
              </w:r>
            </w:hyperlink>
          </w:p>
          <w:p>
            <w:pPr>
              <w:spacing w:after="0" w:before="0" w:line="276"/>
              <w:jc w:val="left"/>
            </w:pPr>
            <w:r>
              <w:rPr>
                <w:rFonts w:ascii="Calibri" w:cs="Calibri" w:eastAsia="Calibri" w:hAnsi="Calibri"/>
                <w:sz w:val="22"/>
                <w:szCs w:val="22"/>
              </w:rPr>
              <w:t xml:space="preserve">Supports en ligne : </w:t>
            </w:r>
            <w:hyperlink w:history="1" r:id="rIdmjlwun87aaumvqoz1lubt">
              <w:r>
                <w:rPr>
                  <w:rStyle w:val="Hyperlink"/>
                  <w:rFonts w:ascii="Calibri" w:cs="Calibri" w:eastAsia="Calibri" w:hAnsi="Calibri"/>
                  <w:sz w:val="22"/>
                  <w:szCs w:val="22"/>
                </w:rPr>
                <w:t xml:space="preserve">formation-cr-cgt-occ.net</w:t>
              </w:r>
            </w:hyperlink>
            <w:r>
              <w:rPr>
                <w:rFonts w:ascii="Calibri" w:cs="Calibri" w:eastAsia="Calibri" w:hAnsi="Calibri"/>
                <w:sz w:val="22"/>
                <w:szCs w:val="22"/>
              </w:rPr>
              <w:t xml:space="preserve"> (espace formateurs)</w:t>
            </w:r>
          </w:p>
        </w:tc>
      </w:tr>
    </w:tbl>
    <w:p>
      <w:pPr>
        <w:spacing w:after="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95959" w:sz="6"/>
              <w:left w:val="single" w:color="595959" w:sz="6"/>
              <w:bottom w:val="single" w:color="595959" w:sz="6"/>
              <w:right w:val="single" w:color="595959" w:sz="6"/>
            </w:tcBorders>
            <w:shd w:fill="D9D9D9" w:color="auto" w:val="clear"/>
            <w:tcMar>
              <w:top w:type="dxa" w:w="120"/>
              <w:left w:type="dxa" w:w="120"/>
              <w:bottom w:type="dxa" w:w="120"/>
              <w:right w:type="dxa" w:w="120"/>
            </w:tcMar>
            <w:vAlign w:val="top"/>
          </w:tcPr>
          <w:p>
            <w:pPr>
              <w:spacing w:after="0" w:before="0" w:line="276"/>
              <w:jc w:val="center"/>
            </w:pPr>
            <w:r>
              <w:rPr>
                <w:rFonts w:ascii="Calibri" w:cs="Calibri" w:eastAsia="Calibri" w:hAnsi="Calibri"/>
                <w:b/>
                <w:bCs/>
                <w:color w:val="404040"/>
                <w:sz w:val="30"/>
                <w:szCs w:val="30"/>
              </w:rPr>
              <w:t xml:space="preserve">Fonctionnement statutaire d'un syndicat CGT</w:t>
            </w:r>
          </w:p>
        </w:tc>
      </w:tr>
    </w:tbl>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595959" w:sz="6"/>
              <w:left w:val="single" w:color="595959" w:sz="6"/>
              <w:bottom w:val="single" w:color="595959" w:sz="6"/>
              <w:right w:val="single" w:color="595959" w:sz="6"/>
            </w:tcBorders>
            <w:tcMar>
              <w:top w:type="dxa" w:w="120"/>
              <w:left w:type="dxa" w:w="120"/>
              <w:bottom w:type="dxa" w:w="120"/>
              <w:right w:type="dxa" w:w="120"/>
            </w:tcMar>
            <w:vAlign w:val="top"/>
          </w:tcPr>
          <w:p>
            <w:pPr>
              <w:spacing w:after="80" w:before="200" w:line="276"/>
              <w:ind w:left="500"/>
              <w:jc w:val="left"/>
            </w:pPr>
            <w:r>
              <w:rPr>
                <w:rFonts w:ascii="Calibri" w:cs="Calibri" w:eastAsia="Calibri" w:hAnsi="Calibri"/>
                <w:b/>
                <w:bCs/>
                <w:color w:val="404040"/>
                <w:sz w:val="25"/>
                <w:szCs w:val="25"/>
              </w:rPr>
              <w:t xml:space="preserve">Population syndicale concernée :</w:t>
            </w:r>
          </w:p>
          <w:p>
            <w:pPr>
              <w:spacing w:after="80" w:before="0" w:line="276"/>
              <w:jc w:val="both"/>
            </w:pPr>
            <w:r>
              <w:rPr>
                <w:rFonts w:ascii="Calibri" w:cs="Calibri" w:eastAsia="Calibri" w:hAnsi="Calibri"/>
                <w:sz w:val="22"/>
                <w:szCs w:val="22"/>
              </w:rPr>
              <w:t xml:space="preserve">Les dirigeant·es, les membres des commissions exécutives et des bureaux, les élu·es et mandaté·es des syndicats CGT, ainsi que les syndiqué·es appelé·es à prendre des responsabilités dans leur syndicat.</w:t>
            </w:r>
          </w:p>
          <w:p>
            <w:pPr>
              <w:spacing w:after="80" w:before="200" w:line="276"/>
              <w:ind w:left="500"/>
              <w:jc w:val="left"/>
            </w:pPr>
            <w:r>
              <w:rPr>
                <w:rFonts w:ascii="Calibri" w:cs="Calibri" w:eastAsia="Calibri" w:hAnsi="Calibri"/>
                <w:b/>
                <w:bCs/>
                <w:color w:val="404040"/>
                <w:sz w:val="25"/>
                <w:szCs w:val="25"/>
              </w:rPr>
              <w:t xml:space="preserve">Le contexte qui amène à faire de la formation :</w:t>
            </w:r>
          </w:p>
          <w:p>
            <w:pPr>
              <w:spacing w:after="80" w:before="0" w:line="276"/>
              <w:jc w:val="both"/>
            </w:pPr>
            <w:r>
              <w:rPr>
                <w:rFonts w:ascii="Calibri" w:cs="Calibri" w:eastAsia="Calibri" w:hAnsi="Calibri"/>
                <w:sz w:val="22"/>
                <w:szCs w:val="22"/>
              </w:rPr>
              <w:t xml:space="preserve">Le syndicat est la base de toute la CGT. Sa force repose sur une vie démocratique réelle : des syndiqué·es informé·es, formé·es et propriétaires de leur organisation, comme le rappelle la charte de la vie syndicale. Or de nombreux syndicats fonctionnent avec des statuts anciens ou méconnus, des instances qui se réunissent peu et des responsabilités concentrées sur quelques camarades.</w:t>
            </w:r>
          </w:p>
          <w:p>
            <w:pPr>
              <w:spacing w:after="80" w:before="0" w:line="276"/>
              <w:jc w:val="both"/>
            </w:pPr>
            <w:r>
              <w:rPr>
                <w:rFonts w:ascii="Calibri" w:cs="Calibri" w:eastAsia="Calibri" w:hAnsi="Calibri"/>
                <w:sz w:val="22"/>
                <w:szCs w:val="22"/>
              </w:rPr>
              <w:t xml:space="preserve">Connaître et faire vivre les statuts (congrès, assemblée générale, commission exécutive, bureau, commission financière de contrôle), c'est garantir la démocratie syndicale, la transparence financière et la représentativité du syndicat. C'est aussi clarifier le rôle de chacun·e, adhérent·e, élu·e, mandaté·e ou responsable, dans l'esprit de la charte de l'élu·e et mandaté·e.</w:t>
            </w:r>
          </w:p>
          <w:p>
            <w:pPr>
              <w:spacing w:after="80" w:before="0" w:line="276"/>
              <w:jc w:val="both"/>
            </w:pPr>
            <w:r>
              <w:rPr>
                <w:rFonts w:ascii="Calibri" w:cs="Calibri" w:eastAsia="Calibri" w:hAnsi="Calibri"/>
                <w:sz w:val="22"/>
                <w:szCs w:val="22"/>
              </w:rPr>
              <w:t xml:space="preserve">Faire vivre ses statuts, c'est aussi remplir les critères qui fondent la représentativité du syndicat (Code du travail, art. L2121-1) et distinguer l'AG de syndiqué·es, où le syndicat construit ses propositions, de l'AG de salarié·es, où les salarié·es décident de leur action.</w:t>
            </w:r>
          </w:p>
          <w:p>
            <w:pPr>
              <w:spacing w:after="80" w:before="0" w:line="276"/>
              <w:jc w:val="both"/>
            </w:pPr>
            <w:r>
              <w:rPr>
                <w:rFonts w:ascii="Calibri" w:cs="Calibri" w:eastAsia="Calibri" w:hAnsi="Calibri"/>
                <w:sz w:val="22"/>
                <w:szCs w:val="22"/>
              </w:rPr>
              <w:t xml:space="preserve">Enfin, situer son syndicat dans la CGT (union locale, union départementale, fédération, Confédération), dans l'esprit de coopération de l'article 21 des statuts confédéraux, et comprendre le circuit de la cotisation permet de mieux s'appuyer sur l'ensemble de l'organisation.</w:t>
            </w:r>
          </w:p>
          <w:p>
            <w:pPr>
              <w:spacing w:after="80" w:before="200" w:line="276"/>
              <w:ind w:left="500"/>
              <w:jc w:val="left"/>
            </w:pPr>
            <w:r>
              <w:rPr>
                <w:rFonts w:ascii="Calibri" w:cs="Calibri" w:eastAsia="Calibri" w:hAnsi="Calibri"/>
                <w:b/>
                <w:bCs/>
                <w:color w:val="404040"/>
                <w:sz w:val="25"/>
                <w:szCs w:val="25"/>
              </w:rPr>
              <w:t xml:space="preserve">Les objectifs de formation :</w:t>
            </w:r>
          </w:p>
          <w:p>
            <w:pPr>
              <w:spacing w:after="80" w:before="0" w:line="276"/>
              <w:jc w:val="both"/>
            </w:pPr>
            <w:r>
              <w:rPr>
                <w:rFonts w:ascii="Calibri" w:cs="Calibri" w:eastAsia="Calibri" w:hAnsi="Calibri"/>
                <w:sz w:val="22"/>
                <w:szCs w:val="22"/>
              </w:rPr>
              <w:t xml:space="preserve">À l'issue de cette formation, les stagiaires seront en capacité d'expliquer le rôle des statuts et des instances de leur syndicat, de distinguer les responsabilités de chacun·e, et de proposer au moins une action concrète pour renforcer la vie démocratique de leur syndicat.</w:t>
            </w:r>
          </w:p>
          <w:p>
            <w:pPr>
              <w:spacing w:after="80" w:before="200" w:line="276"/>
              <w:ind w:left="500"/>
              <w:jc w:val="left"/>
            </w:pPr>
            <w:r>
              <w:rPr>
                <w:rFonts w:ascii="Calibri" w:cs="Calibri" w:eastAsia="Calibri" w:hAnsi="Calibri"/>
                <w:b/>
                <w:bCs/>
                <w:color w:val="404040"/>
                <w:sz w:val="25"/>
                <w:szCs w:val="25"/>
              </w:rPr>
              <w:t xml:space="preserve">Les thèmes abordés :</w:t>
            </w:r>
          </w:p>
          <w:p>
            <w:pPr>
              <w:spacing w:after="80" w:before="0" w:line="276"/>
              <w:jc w:val="both"/>
            </w:pPr>
            <w:r>
              <w:rPr>
                <w:rFonts w:ascii="Calibri" w:cs="Calibri" w:eastAsia="Calibri" w:hAnsi="Calibri"/>
                <w:b/>
                <w:bCs/>
                <w:sz w:val="22"/>
                <w:szCs w:val="22"/>
              </w:rPr>
              <w:t xml:space="preserve">Thème 1 : Les statuts, garants de la démocratie syndicale. </w:t>
            </w:r>
            <w:r>
              <w:rPr>
                <w:rFonts w:ascii="Calibri" w:cs="Calibri" w:eastAsia="Calibri" w:hAnsi="Calibri"/>
                <w:sz w:val="22"/>
                <w:szCs w:val="22"/>
              </w:rPr>
              <w:t xml:space="preserve">Pourquoi un fonctionnement statutaire ; les droits, les devoirs et le pouvoir d'intervention des adhérent·es ; élu·es, mandaté·es, désigné·es et responsables : les différences et les engagements.</w:t>
            </w:r>
          </w:p>
          <w:p>
            <w:pPr>
              <w:spacing w:after="80" w:before="0" w:line="276"/>
              <w:jc w:val="both"/>
            </w:pPr>
            <w:r>
              <w:rPr>
                <w:rFonts w:ascii="Calibri" w:cs="Calibri" w:eastAsia="Calibri" w:hAnsi="Calibri"/>
                <w:b/>
                <w:bCs/>
                <w:sz w:val="22"/>
                <w:szCs w:val="22"/>
              </w:rPr>
              <w:t xml:space="preserve">Thème 2 : Les instances du syndicat et sa représentativité. </w:t>
            </w:r>
            <w:r>
              <w:rPr>
                <w:rFonts w:ascii="Calibri" w:cs="Calibri" w:eastAsia="Calibri" w:hAnsi="Calibri"/>
                <w:sz w:val="22"/>
                <w:szCs w:val="22"/>
              </w:rPr>
              <w:t xml:space="preserve">Commission exécutive, bureau, secrétaire général·e et commission financière de contrôle ; le congrès et l'assemblée générale, lieux de souveraineté ; l'AG de syndiqué·es et l'AG de salarié·es (« AG ouvrière »), qui vient toujours après ; les 7 critères de représentativité (art. L2121-1 du Code du travail) ; la cotisation de 1 % net et les outils de la CGT (CoGéTise, CoGiTiel).</w:t>
            </w:r>
          </w:p>
          <w:p>
            <w:pPr>
              <w:spacing w:after="80" w:before="0" w:line="276"/>
              <w:jc w:val="both"/>
            </w:pPr>
            <w:r>
              <w:rPr>
                <w:rFonts w:ascii="Calibri" w:cs="Calibri" w:eastAsia="Calibri" w:hAnsi="Calibri"/>
                <w:b/>
                <w:bCs/>
                <w:sz w:val="22"/>
                <w:szCs w:val="22"/>
              </w:rPr>
              <w:t xml:space="preserve">Thème 3 : Le syndicat dans la CGT. </w:t>
            </w:r>
            <w:r>
              <w:rPr>
                <w:rFonts w:ascii="Calibri" w:cs="Calibri" w:eastAsia="Calibri" w:hAnsi="Calibri"/>
                <w:sz w:val="22"/>
                <w:szCs w:val="22"/>
              </w:rPr>
              <w:t xml:space="preserve">L'articulation avec l'union locale, l'union départementale, la fédération et la Confédération ; les deux branches, professionnelle et territoriale ; l'article 21 des statuts confédéraux (coopération et complémentarité entre organisations) ; les engagements de chacun·e pour son syndicat.</w:t>
            </w:r>
          </w:p>
          <w:p>
            <w:pPr>
              <w:spacing w:after="80" w:before="200" w:line="276"/>
              <w:ind w:left="500"/>
              <w:jc w:val="left"/>
            </w:pPr>
            <w:r>
              <w:rPr>
                <w:rFonts w:ascii="Calibri" w:cs="Calibri" w:eastAsia="Calibri" w:hAnsi="Calibri"/>
                <w:b/>
                <w:bCs/>
                <w:color w:val="404040"/>
                <w:sz w:val="25"/>
                <w:szCs w:val="25"/>
              </w:rPr>
              <w:t xml:space="preserve">Les prérequis à cette formation :</w:t>
            </w:r>
          </w:p>
          <w:p>
            <w:pPr>
              <w:spacing w:after="80" w:before="0" w:line="276"/>
              <w:jc w:val="both"/>
            </w:pPr>
            <w:r>
              <w:rPr>
                <w:rFonts w:ascii="Calibri" w:cs="Calibri" w:eastAsia="Calibri" w:hAnsi="Calibri"/>
                <w:sz w:val="22"/>
                <w:szCs w:val="22"/>
              </w:rPr>
              <w:t xml:space="preserve">Être syndiqué·e à la CGT. Il est souhaitable d'avoir suivi la formation « Découvrir la CGT » ou la formation syndicale générale de niveau 1. Chaque stagiaire est invité·e à apporter les statuts de son syndicat.</w:t>
            </w:r>
          </w:p>
          <w:p>
            <w:pPr>
              <w:spacing w:after="80" w:before="200" w:line="276"/>
              <w:ind w:left="500"/>
              <w:jc w:val="left"/>
            </w:pPr>
            <w:r>
              <w:rPr>
                <w:rFonts w:ascii="Calibri" w:cs="Calibri" w:eastAsia="Calibri" w:hAnsi="Calibri"/>
                <w:b/>
                <w:bCs/>
                <w:color w:val="404040"/>
                <w:sz w:val="25"/>
                <w:szCs w:val="25"/>
              </w:rPr>
              <w:t xml:space="preserve">Évaluations prévues :</w:t>
            </w:r>
          </w:p>
          <w:p>
            <w:pPr>
              <w:spacing w:after="40" w:before="0" w:line="276"/>
              <w:jc w:val="left"/>
            </w:pPr>
            <w:r>
              <w:rPr>
                <w:rFonts w:ascii="Calibri" w:cs="Calibri" w:eastAsia="Calibri" w:hAnsi="Calibri"/>
                <w:sz w:val="22"/>
                <w:szCs w:val="22"/>
              </w:rPr>
              <w:t xml:space="preserve">Évaluations formatives en cours de stage, à partir des activités sur le syndicat de chaque stagiaire : comparaison de ses statuts avec le modèle, classement des instances, autodiagnostic des 7 critères de représentativité, distinction AG de syndiqué·es / AG de salarié·es, quiz de fin de séquence.</w:t>
            </w:r>
          </w:p>
          <w:p>
            <w:pPr>
              <w:spacing w:after="80" w:before="0" w:line="276"/>
              <w:jc w:val="left"/>
            </w:pPr>
            <w:r>
              <w:rPr>
                <w:rFonts w:ascii="Calibri" w:cs="Calibri" w:eastAsia="Calibri" w:hAnsi="Calibri"/>
                <w:sz w:val="22"/>
                <w:szCs w:val="22"/>
              </w:rPr>
              <w:t xml:space="preserve">Évaluation estimative de fin de formation (questionnaire d'évaluation).</w:t>
            </w:r>
          </w:p>
          <w:p>
            <w:pPr>
              <w:spacing w:after="80" w:before="200" w:line="276"/>
              <w:ind w:left="500"/>
              <w:jc w:val="left"/>
            </w:pPr>
            <w:r>
              <w:rPr>
                <w:rFonts w:ascii="Calibri" w:cs="Calibri" w:eastAsia="Calibri" w:hAnsi="Calibri"/>
                <w:b/>
                <w:bCs/>
                <w:color w:val="404040"/>
                <w:sz w:val="25"/>
                <w:szCs w:val="25"/>
              </w:rPr>
              <w:t xml:space="preserve">Forme et durée de l'action de formation :</w:t>
            </w:r>
          </w:p>
          <w:p>
            <w:pPr>
              <w:spacing w:after="80" w:before="0" w:line="276"/>
              <w:jc w:val="both"/>
            </w:pPr>
            <w:r>
              <w:rPr>
                <w:rFonts w:ascii="Calibri" w:cs="Calibri" w:eastAsia="Calibri" w:hAnsi="Calibri"/>
                <w:sz w:val="22"/>
                <w:szCs w:val="22"/>
              </w:rPr>
              <w:t xml:space="preserve">Journée d'étude de 1 jour (de 9 h à 17 h), en pédagogie active : on part du vécu des stagiaires et de leur syndicat, le groupe débat avant chaque apport, et chacun·e repart avec un engagement concret.</w:t>
            </w:r>
          </w:p>
          <w:p>
            <w:pPr>
              <w:spacing w:after="80" w:before="0" w:line="276"/>
              <w:jc w:val="both"/>
            </w:pPr>
            <w:r>
              <w:rPr>
                <w:rFonts w:ascii="Calibri" w:cs="Calibri" w:eastAsia="Calibri" w:hAnsi="Calibri"/>
                <w:sz w:val="22"/>
                <w:szCs w:val="22"/>
              </w:rPr>
              <w:t xml:space="preserve">Supports : diaporama projeté avec révélation pas à pas ; quatre modules interactifs en parcours guidé (statuts, rôles, AG et congrès, cotisations) ; support stagiaire à compléter ; fiche « Le rôle de chacun dans le syndicat » ; modèle de statuts et chartes de la CGT.</w:t>
            </w:r>
          </w:p>
        </w:tc>
      </w:tr>
      <w:tr>
        <w:tc>
          <w:tcPr>
            <w:tcW w:type="dxa" w:w="9638"/>
            <w:tcBorders>
              <w:top w:val="single" w:color="595959" w:sz="6"/>
              <w:left w:val="single" w:color="595959" w:sz="6"/>
              <w:bottom w:val="single" w:color="595959" w:sz="6"/>
              <w:right w:val="single" w:color="595959" w:sz="6"/>
            </w:tcBorders>
            <w:shd w:fill="D9D9D9" w:color="auto" w:val="clear"/>
            <w:tcMar>
              <w:top w:type="dxa" w:w="40"/>
              <w:left w:type="dxa" w:w="120"/>
              <w:bottom w:type="dxa" w:w="40"/>
              <w:right w:type="dxa" w:w="120"/>
            </w:tcMar>
            <w:vAlign w:val="top"/>
          </w:tcPr>
          <w:p>
            <w:pPr>
              <w:spacing w:after="0" w:before="0" w:line="276"/>
              <w:jc w:val="both"/>
            </w:pPr>
            <w:r>
              <w:rPr>
                <w:rFonts w:ascii="Calibri" w:cs="Calibri" w:eastAsia="Calibri" w:hAnsi="Calibri"/>
                <w:sz w:val="22"/>
                <w:szCs w:val="22"/>
              </w:rPr>
              <w:t xml:space="preserve"/>
            </w:r>
          </w:p>
        </w:tc>
      </w:tr>
    </w:tbl>
    <w:sectPr>
      <w:pgSz w:w="11906" w:h="16838" w:orient="portrait"/>
      <w:pgMar w:top="1000" w:right="1134" w:bottom="1000"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0sbphxh9fgi5db6_gwqp" Type="http://schemas.openxmlformats.org/officeDocument/2006/relationships/hyperlink" Target="mailto:ud@cgt12.fr" TargetMode="External"/><Relationship Id="rIdmjlwun87aaumvqoz1lubt" Type="http://schemas.openxmlformats.org/officeDocument/2006/relationships/hyperlink" Target="https://formation-cr-cgt-occ.net/formation-ud12/index.html" TargetMode="External"/><Relationship Id="rId7" Type="http://schemas.openxmlformats.org/officeDocument/2006/relationships/image" Target="media/2bc74a2ed8804dbe75bf5d0785aabff701c0f9f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Fiche descriptive – Fonctionnement statutaire d'un syndicat CGT</dc:title>
  <dc:creator>UD CGT Aveyron</dc:creator>
  <cp:lastModifiedBy>Un-named</cp:lastModifiedBy>
  <cp:revision>1</cp:revision>
  <dcterms:created xsi:type="dcterms:W3CDTF">2026-10-10T20:25:57.009Z</dcterms:created>
  <dcterms:modified xsi:type="dcterms:W3CDTF">2026-10-10T20:25:57.018Z</dcterms:modified>
</cp:coreProperties>
</file>

<file path=docProps/custom.xml><?xml version="1.0" encoding="utf-8"?>
<Properties xmlns="http://schemas.openxmlformats.org/officeDocument/2006/custom-properties" xmlns:vt="http://schemas.openxmlformats.org/officeDocument/2006/docPropsVTypes"/>
</file>